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6108" w:rsidRPr="00936108" w:rsidRDefault="00936108" w:rsidP="00936108">
      <w:pPr>
        <w:spacing w:before="100" w:beforeAutospacing="1" w:after="100" w:afterAutospacing="1" w:line="480" w:lineRule="auto"/>
        <w:rPr>
          <w:rFonts w:ascii="Times New Roman" w:hAnsi="Times New Roman" w:cs="Times New Roman"/>
          <w:sz w:val="24"/>
          <w:szCs w:val="24"/>
        </w:rPr>
      </w:pPr>
      <w:r w:rsidRPr="00936108">
        <w:rPr>
          <w:rFonts w:ascii="Times New Roman" w:hAnsi="Times New Roman" w:cs="Times New Roman"/>
          <w:sz w:val="24"/>
          <w:szCs w:val="24"/>
        </w:rPr>
        <w:t xml:space="preserve">Capital budgeting is a set of practices used to assist make a decision on when to invest in developments. The payback period is a method of capital budgeting that represents the period of time required for the cash flow created by investment to reimburse the original cost of the investment. The result that the payback period provides the user is the span of time till investment capitals are recovered. The limitation of the payback period is that cash flow payments beyond the payback period are not included.Net present value is a method of analysis whereby a stream of future cash flows is discounted back to present value. The Net present value is the amount in which the present </w:t>
      </w:r>
      <w:r w:rsidR="004B259E" w:rsidRPr="00936108">
        <w:rPr>
          <w:rFonts w:ascii="Times New Roman" w:hAnsi="Times New Roman" w:cs="Times New Roman"/>
          <w:sz w:val="24"/>
          <w:szCs w:val="24"/>
        </w:rPr>
        <w:t>value of cash inflows exceeds</w:t>
      </w:r>
      <w:r w:rsidRPr="00936108">
        <w:rPr>
          <w:rFonts w:ascii="Times New Roman" w:hAnsi="Times New Roman" w:cs="Times New Roman"/>
          <w:sz w:val="24"/>
          <w:szCs w:val="24"/>
        </w:rPr>
        <w:t xml:space="preserve"> the present value of cash inflows. Therefore, if the difference is positive then it’s accepted. The result that the net present value provides the user with is the time value of money. The limitation of net present value is </w:t>
      </w:r>
      <w:proofErr w:type="gramStart"/>
      <w:r w:rsidRPr="00936108">
        <w:rPr>
          <w:rFonts w:ascii="Times New Roman" w:hAnsi="Times New Roman" w:cs="Times New Roman"/>
          <w:sz w:val="24"/>
          <w:szCs w:val="24"/>
        </w:rPr>
        <w:t>that</w:t>
      </w:r>
      <w:proofErr w:type="gramEnd"/>
      <w:r w:rsidRPr="00936108">
        <w:rPr>
          <w:rFonts w:ascii="Times New Roman" w:hAnsi="Times New Roman" w:cs="Times New Roman"/>
          <w:sz w:val="24"/>
          <w:szCs w:val="24"/>
        </w:rPr>
        <w:t xml:space="preserve"> it’s not an easy task to understand the concept of cost of capital. (Delaney &amp; Whittington, 2011)</w:t>
      </w:r>
    </w:p>
    <w:p w:rsidR="00936108" w:rsidRPr="00936108" w:rsidRDefault="00936108" w:rsidP="00936108">
      <w:pPr>
        <w:spacing w:before="100" w:beforeAutospacing="1" w:after="100" w:afterAutospacing="1" w:line="480" w:lineRule="auto"/>
        <w:rPr>
          <w:rFonts w:ascii="Times New Roman" w:hAnsi="Times New Roman" w:cs="Times New Roman"/>
          <w:sz w:val="24"/>
          <w:szCs w:val="24"/>
        </w:rPr>
      </w:pPr>
      <w:r w:rsidRPr="00936108">
        <w:rPr>
          <w:rFonts w:ascii="Times New Roman" w:hAnsi="Times New Roman" w:cs="Times New Roman"/>
          <w:sz w:val="24"/>
          <w:szCs w:val="24"/>
        </w:rPr>
        <w:t>The internal rate of return is the rate at which the net present value of the investment is zero. i.e., the discounted cash outflow is equal to the discounted cash inflow. This method analyses the rate of interest in which capital invested can be paid out of cash inflows. The result that the IRR provides the user with is the time value of money. The limitation of IRR is that it’s a tedious task to compute. The method that I find most useful in making the best investment decision is the internal rate of return. This is because in IRR there is an assumption that cash flows can be reinvested at the internal rate of return. (Delaney &amp; Whittington, 2011)</w:t>
      </w:r>
    </w:p>
    <w:p w:rsidR="00936108" w:rsidRPr="00936108" w:rsidRDefault="00936108" w:rsidP="00936108">
      <w:pPr>
        <w:spacing w:before="100" w:beforeAutospacing="1" w:after="100" w:afterAutospacing="1" w:line="480" w:lineRule="auto"/>
        <w:rPr>
          <w:rFonts w:ascii="Times New Roman" w:hAnsi="Times New Roman" w:cs="Times New Roman"/>
          <w:sz w:val="24"/>
          <w:szCs w:val="24"/>
        </w:rPr>
      </w:pPr>
    </w:p>
    <w:p w:rsidR="00936108" w:rsidRPr="00936108" w:rsidRDefault="00936108" w:rsidP="00936108">
      <w:pPr>
        <w:spacing w:before="100" w:beforeAutospacing="1" w:after="100" w:afterAutospacing="1" w:line="480" w:lineRule="auto"/>
        <w:rPr>
          <w:rFonts w:ascii="Times New Roman" w:hAnsi="Times New Roman" w:cs="Times New Roman"/>
          <w:sz w:val="24"/>
          <w:szCs w:val="24"/>
        </w:rPr>
      </w:pPr>
    </w:p>
    <w:p w:rsidR="00936108" w:rsidRPr="00936108" w:rsidRDefault="00936108" w:rsidP="00936108">
      <w:pPr>
        <w:spacing w:before="100" w:beforeAutospacing="1" w:after="100" w:afterAutospacing="1" w:line="480" w:lineRule="auto"/>
        <w:jc w:val="center"/>
        <w:rPr>
          <w:rFonts w:ascii="Times New Roman" w:hAnsi="Times New Roman" w:cs="Times New Roman"/>
          <w:sz w:val="24"/>
          <w:szCs w:val="24"/>
        </w:rPr>
      </w:pPr>
      <w:r w:rsidRPr="00936108">
        <w:rPr>
          <w:rFonts w:ascii="Times New Roman" w:hAnsi="Times New Roman" w:cs="Times New Roman"/>
          <w:sz w:val="24"/>
          <w:szCs w:val="24"/>
        </w:rPr>
        <w:lastRenderedPageBreak/>
        <w:t>References</w:t>
      </w:r>
    </w:p>
    <w:p w:rsidR="00936108" w:rsidRPr="00936108" w:rsidRDefault="00936108" w:rsidP="00936108">
      <w:pPr>
        <w:pBdr>
          <w:bottom w:val="single" w:sz="6" w:space="1" w:color="auto"/>
        </w:pBdr>
        <w:spacing w:after="0" w:line="240" w:lineRule="auto"/>
        <w:jc w:val="center"/>
        <w:rPr>
          <w:rFonts w:ascii="Times New Roman" w:eastAsia="Times New Roman" w:hAnsi="Times New Roman" w:cs="Times New Roman"/>
          <w:vanish/>
          <w:sz w:val="24"/>
          <w:szCs w:val="24"/>
        </w:rPr>
      </w:pPr>
      <w:r w:rsidRPr="00936108">
        <w:rPr>
          <w:rFonts w:ascii="Times New Roman" w:eastAsia="Times New Roman" w:hAnsi="Times New Roman" w:cs="Times New Roman"/>
          <w:vanish/>
          <w:sz w:val="24"/>
          <w:szCs w:val="24"/>
        </w:rPr>
        <w:t>Top of Form</w:t>
      </w:r>
    </w:p>
    <w:p w:rsidR="00936108" w:rsidRPr="00936108" w:rsidRDefault="00936108" w:rsidP="00936108">
      <w:pPr>
        <w:shd w:val="clear" w:color="auto" w:fill="FFFFFF"/>
        <w:spacing w:after="0" w:line="288" w:lineRule="atLeast"/>
        <w:rPr>
          <w:rFonts w:ascii="Times New Roman" w:eastAsia="Arial Unicode MS" w:hAnsi="Times New Roman" w:cs="Times New Roman"/>
          <w:color w:val="000000"/>
          <w:sz w:val="24"/>
          <w:szCs w:val="24"/>
        </w:rPr>
      </w:pPr>
      <w:proofErr w:type="gramStart"/>
      <w:r w:rsidRPr="00936108">
        <w:rPr>
          <w:rFonts w:ascii="Times New Roman" w:eastAsia="Arial Unicode MS" w:hAnsi="Times New Roman" w:cs="Times New Roman"/>
          <w:color w:val="000000"/>
          <w:sz w:val="24"/>
          <w:szCs w:val="24"/>
        </w:rPr>
        <w:t>Delaney, P. R., &amp; Whittington, R. (2011).</w:t>
      </w:r>
      <w:proofErr w:type="gramEnd"/>
      <w:r w:rsidRPr="00936108">
        <w:rPr>
          <w:rFonts w:ascii="Times New Roman" w:eastAsia="Arial Unicode MS" w:hAnsi="Times New Roman" w:cs="Times New Roman"/>
          <w:color w:val="000000"/>
          <w:sz w:val="24"/>
          <w:szCs w:val="24"/>
        </w:rPr>
        <w:t> </w:t>
      </w:r>
      <w:r w:rsidRPr="00936108">
        <w:rPr>
          <w:rFonts w:ascii="Times New Roman" w:eastAsia="Arial Unicode MS" w:hAnsi="Times New Roman" w:cs="Times New Roman"/>
          <w:i/>
          <w:iCs/>
          <w:color w:val="000000"/>
          <w:sz w:val="24"/>
          <w:szCs w:val="24"/>
        </w:rPr>
        <w:t>Wiley CPA exam review 2012</w:t>
      </w:r>
      <w:r w:rsidRPr="00936108">
        <w:rPr>
          <w:rFonts w:ascii="Times New Roman" w:eastAsia="Arial Unicode MS" w:hAnsi="Times New Roman" w:cs="Times New Roman"/>
          <w:color w:val="000000"/>
          <w:sz w:val="24"/>
          <w:szCs w:val="24"/>
        </w:rPr>
        <w:t>. Hoboken, N.J: Wiley.</w:t>
      </w:r>
    </w:p>
    <w:p w:rsidR="00936108" w:rsidRPr="00936108" w:rsidRDefault="00936108" w:rsidP="00936108">
      <w:pPr>
        <w:pBdr>
          <w:top w:val="single" w:sz="6" w:space="1" w:color="auto"/>
        </w:pBdr>
        <w:spacing w:after="0" w:line="240" w:lineRule="auto"/>
        <w:jc w:val="center"/>
        <w:rPr>
          <w:rFonts w:ascii="Times New Roman" w:eastAsia="Times New Roman" w:hAnsi="Times New Roman" w:cs="Times New Roman"/>
          <w:vanish/>
          <w:sz w:val="24"/>
          <w:szCs w:val="24"/>
        </w:rPr>
      </w:pPr>
      <w:r w:rsidRPr="00936108">
        <w:rPr>
          <w:rFonts w:ascii="Times New Roman" w:eastAsia="Times New Roman" w:hAnsi="Times New Roman" w:cs="Times New Roman"/>
          <w:vanish/>
          <w:sz w:val="24"/>
          <w:szCs w:val="24"/>
        </w:rPr>
        <w:t>Bottom of Form</w:t>
      </w:r>
    </w:p>
    <w:p w:rsidR="00936108" w:rsidRPr="00936108" w:rsidRDefault="00936108" w:rsidP="00936108">
      <w:pPr>
        <w:spacing w:before="100" w:beforeAutospacing="1" w:after="100" w:afterAutospacing="1" w:line="480" w:lineRule="auto"/>
        <w:rPr>
          <w:rFonts w:ascii="Times New Roman" w:hAnsi="Times New Roman" w:cs="Times New Roman"/>
          <w:sz w:val="24"/>
          <w:szCs w:val="24"/>
        </w:rPr>
      </w:pPr>
    </w:p>
    <w:sectPr w:rsidR="00936108" w:rsidRPr="00936108" w:rsidSect="004F14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72140"/>
    <w:rsid w:val="00076D0E"/>
    <w:rsid w:val="004B259E"/>
    <w:rsid w:val="004F1497"/>
    <w:rsid w:val="00772140"/>
    <w:rsid w:val="00791AA0"/>
    <w:rsid w:val="007C16B8"/>
    <w:rsid w:val="0089414D"/>
    <w:rsid w:val="00936108"/>
    <w:rsid w:val="00C50F65"/>
    <w:rsid w:val="00D31746"/>
    <w:rsid w:val="00E229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4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93610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3610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3610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36108"/>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1855220858">
      <w:bodyDiv w:val="1"/>
      <w:marLeft w:val="0"/>
      <w:marRight w:val="0"/>
      <w:marTop w:val="0"/>
      <w:marBottom w:val="0"/>
      <w:divBdr>
        <w:top w:val="none" w:sz="0" w:space="0" w:color="auto"/>
        <w:left w:val="none" w:sz="0" w:space="0" w:color="auto"/>
        <w:bottom w:val="none" w:sz="0" w:space="0" w:color="auto"/>
        <w:right w:val="none" w:sz="0" w:space="0" w:color="auto"/>
      </w:divBdr>
      <w:divsChild>
        <w:div w:id="1380131465">
          <w:marLeft w:val="0"/>
          <w:marRight w:val="0"/>
          <w:marTop w:val="0"/>
          <w:marBottom w:val="0"/>
          <w:divBdr>
            <w:top w:val="none" w:sz="0" w:space="0" w:color="auto"/>
            <w:left w:val="none" w:sz="0" w:space="0" w:color="auto"/>
            <w:bottom w:val="single" w:sz="6" w:space="3" w:color="D0D4D7"/>
            <w:right w:val="none" w:sz="0" w:space="0" w:color="auto"/>
          </w:divBdr>
          <w:divsChild>
            <w:div w:id="97599162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dc:creator>
  <cp:lastModifiedBy>AbduAlqa</cp:lastModifiedBy>
  <cp:revision>4</cp:revision>
  <dcterms:created xsi:type="dcterms:W3CDTF">2021-01-13T09:15:00Z</dcterms:created>
  <dcterms:modified xsi:type="dcterms:W3CDTF">2021-01-13T09:15:00Z</dcterms:modified>
</cp:coreProperties>
</file>